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克州住房和城乡建设局（人民防空办公室）</w:t>
      </w:r>
    </w:p>
    <w:p>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承担保障城镇低收入家庭住房的责任；承担推进住房制度改革的责任；承担规范住房和城乡建设管理秩序的责任；承担建立科学规范的住房和城乡建设地方标准体系的责任；承担规范房地产市场秩序、监督管理房地产市场的责任；监督管理自治州建筑市场，规范各方主体行为；拟定城市建设的政策并指导实施；承担规范和指导自治州村镇建设的责任；承担建筑工程质量安全监管的责任；综合管理城乡建设抗震减灾工作；承担推进建筑节能、城镇减排的责任；贯彻执行国家、自治区关于人民防空建设的法律、法规和方针、政策，拟定自治州人民防空工作的规章和规范性文件，经审议通过后组织实施；负责编制自治州人民防空建设总体规划；负责人民防空组织指挥、通信、警报、信息化建设与管理；组织制定自治州人民防空城市防空袭预案和各种保障方案；承办自治州党委、自治州人民政府交办的其他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住建局（人防办）内设5个科室，分别是：办公室、房地产和住房保障、城市建设管理科、村镇建设管理科、建筑市场管理科。主要职能是承担保障城镇低收入家庭住房的责任；承担推进住房制度改革的责任；承担规范住房和城乡建设管理秩序的责任；承担建立科学规范的住房和城乡建设地方标准体系的责任；承担规范房地产市场秩序、监督管理房地产市场的责任；监督管理自治州建筑市场，规范各方主体行为；拟定城市建设的政策并指导实施；承担规范和指导自治州村镇建设的责任；承担建筑工程质量安全监管的责任；综合管理城乡建设抗震减灾工作；承担推进建筑节能、城镇减排的责任；贯彻执行国家、自治区关于人民防空建设的法律、法规和方针、政策，拟定自治州人民防空工作的规章和规范性文件，经审议通过后组织实施；负责编制自治州人民防空建设总体规划；负责人了防空组织指挥、通信、警报、信息化建设与管理；组织制定自治州人民防空城市防空袭预案和各种保障方案；承办自治州党委、自治州人民政府交办的其他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编制人数46人，其中：行政人员编制13人、工勤2人、参公10人、事业编制21人。实有在职人数47人，其中：行政在职17人、工勤2人、参公8人、事业在职20人。离退休人员22人，其中：行政退休人员20人、事业退休2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狠抓项目建设，推动经济高质量发展，紧盯高质量发展瓶颈和人民群众反映强烈的问题，狠抓项目建设。加快完善房地产市场和住房保障体系，克州住建部门始终坚持民生优先原则，紧紧围绕“住有所居”目标，坚持以住房供给侧结构性改革为主线，突出多层次、差异化、全覆盖原则，在保障城市中低收入家庭住房困难的基础上，引导和发展自治州房地产市场，以房地产开发为主，提供普通商品住房、安居型商品房，满足城镇中等以上收入家庭住房需求。聚焦精细管理，抓居住品质提升，突出以人为本，统筹推进城市更新，不断完善城市基础设施，提升城市居住品质，加快建设宜居、绿色、智慧、韧性和人文城市。加强建筑行业监督管理，深化“放管服”改革。</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住房和城乡建设局（人民防空办公室）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住房和城乡建设局（人民防空办公室）集体决策制度》和《克州住房和城乡建设局（人民防空办公室）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住房和城乡建设局（人民防空办公室）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住房和城乡建设局（人民防空办公室）合同管理办法》相关规定，克州住房和城乡建设局（人民防空办公室）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963.75万元，项目支出安排资金144.03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本单位2021年度项目支出144.03万元，涉及项目数量13个，其中：重点项目支出103万元，涉及重点项目数量5个，重点项目支出与部门项目总支出的比率为71.51%。</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2021年度本单位年初批复部门预算资金总额为786.88万元，年中调增预算总额为455.52万元，调整后全年预算资金总额为1242.40万元。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2021年度本单位部门整体支出资金总额为1107.78万元，预算执行率为89.16%，预算调整率为</w:t>
      </w:r>
      <w:r>
        <w:rPr>
          <w:rFonts w:hint="eastAsia" w:ascii="仿宋_GB2312" w:hAnsi="宋体" w:eastAsia="仿宋_GB2312"/>
          <w:b w:val="0"/>
          <w:bCs/>
          <w:sz w:val="32"/>
          <w:szCs w:val="32"/>
          <w:lang w:val="en-US" w:eastAsia="zh-CN"/>
        </w:rPr>
        <w:t>57.89</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年初政府采购预算数为119.61万元，实际政府采购数为107.71万元，政府采购执行率为90.05%。</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住房和城乡建设局（人民防空办公室）内部控制规范》《克州住房和城乡建设局（人民防空办公室）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2021年度我单位基本支出预算总额为1097.73万元，其中人员经费804.11万元，公用经费293.61万元。实际执行总额为963.75万元，预算执行率87.80%。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6.2万元，比上年减少1.23万元，减少16.55%，主要原因是：按照厉行节约的要求，2021年缩减公务车运行维护费，因此支出随之减少。其中，因公出国（境）费支出0万元；公务用车购置及运行维护费支出6万元；公务接待费支出0.2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与年初预算数相比情况：一般公共预算“三公”经费支出年初预算数6.2万元，预算执行数为6.2万元，执行率为100%，主要原因是：按照厉行节约的要求，2021年缩减公务车运行维护费，因此支出随之减少。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2021年度本单位项目支出预算总额为490.15万元，实际执行资金总额为144.03万元，预算执行率为29.38%。</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2021年度预算安排专项资金354.64万元，实际支出资金19.34万元，预算执行率为5.45%，涉及项目个数4个。专项经费按照政策要求实行专款专用，不存在截留、挤占、挪用、虚列支出。各项目详细执行情况如下：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民办实事和第一书记工作经费项目:全年预算数为17万元，预算执行数为17万元，预算执行率为100%。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2020年军民融合发展专项经费-人防机动指挥平台项目:全年预算数为336万元，预算执行数为1.68万元，预算执行率为0.5%。</w:t>
      </w:r>
      <w:r>
        <w:rPr>
          <w:rFonts w:hint="eastAsia" w:ascii="仿宋_GB2312" w:hAnsi="宋体" w:eastAsia="仿宋_GB2312"/>
          <w:b w:val="0"/>
          <w:bCs/>
          <w:sz w:val="32"/>
          <w:szCs w:val="32"/>
        </w:rPr>
        <w:cr/>
      </w:r>
      <w:r>
        <w:rPr>
          <w:rFonts w:hint="eastAsia" w:ascii="仿宋_GB2312" w:hAnsi="宋体" w:eastAsia="仿宋_GB2312"/>
          <w:b w:val="0"/>
          <w:bCs/>
          <w:sz w:val="32"/>
          <w:szCs w:val="32"/>
        </w:rPr>
        <w:t>　　就业补贴项目:全年预算数为1.30万元，预算执行数为0.32万元，预算执行率为24.62%。</w:t>
      </w:r>
      <w:r>
        <w:rPr>
          <w:rFonts w:hint="eastAsia" w:ascii="仿宋_GB2312" w:hAnsi="宋体" w:eastAsia="仿宋_GB2312"/>
          <w:b w:val="0"/>
          <w:bCs/>
          <w:sz w:val="32"/>
          <w:szCs w:val="32"/>
        </w:rPr>
        <w:cr/>
      </w:r>
      <w:r>
        <w:rPr>
          <w:rFonts w:hint="eastAsia" w:ascii="仿宋_GB2312" w:hAnsi="宋体" w:eastAsia="仿宋_GB2312"/>
          <w:b w:val="0"/>
          <w:bCs/>
          <w:sz w:val="32"/>
          <w:szCs w:val="32"/>
        </w:rPr>
        <w:t>　　生活补助经费项目:全年预算数为0.34万元，预算执行数为0.34万元，预算执行率为100%。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2021年度预算安排本级财力资金135.51万元，实际支出资金124.69万元，预算执行率为92.02%，涉及项目个数9个，各项目详细执行情况如下：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群众工作经费项目:全年预算数为7万元，预算执行数为5.01万元，预算执行率为71.57%。</w:t>
      </w:r>
      <w:r>
        <w:rPr>
          <w:rFonts w:hint="eastAsia" w:ascii="仿宋_GB2312" w:hAnsi="宋体" w:eastAsia="仿宋_GB2312"/>
          <w:b w:val="0"/>
          <w:bCs/>
          <w:sz w:val="32"/>
          <w:szCs w:val="32"/>
        </w:rPr>
        <w:cr/>
      </w:r>
      <w:r>
        <w:rPr>
          <w:rFonts w:hint="eastAsia" w:ascii="仿宋_GB2312" w:hAnsi="宋体" w:eastAsia="仿宋_GB2312"/>
          <w:b w:val="0"/>
          <w:bCs/>
          <w:sz w:val="32"/>
          <w:szCs w:val="32"/>
        </w:rPr>
        <w:t>　　住建局工作经费项目:全年预算数为6.5万元，预算执行数为6.5万元，预算执行率为100%。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见习生补助经费项目:全年预算数为1.5万元，预算执行数为1.5万元，预算执行率为100%。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工程建设项目审批管理系统网络服务项目:全年预算数为24万元，预算执行数为24万元，预算执行率为100%。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安居办农村住房安全隐患排查整治工作经费项目:全年预算数为25万元，预算执行数为16.17万元，预算执行率为64.68%。</w:t>
      </w:r>
      <w:r>
        <w:rPr>
          <w:rFonts w:hint="eastAsia" w:ascii="仿宋_GB2312" w:hAnsi="宋体" w:eastAsia="仿宋_GB2312"/>
          <w:b w:val="0"/>
          <w:bCs/>
          <w:sz w:val="32"/>
          <w:szCs w:val="32"/>
        </w:rPr>
        <w:cr/>
      </w:r>
      <w:r>
        <w:rPr>
          <w:rFonts w:hint="eastAsia" w:ascii="仿宋_GB2312" w:hAnsi="宋体" w:eastAsia="仿宋_GB2312"/>
          <w:b w:val="0"/>
          <w:bCs/>
          <w:sz w:val="32"/>
          <w:szCs w:val="32"/>
        </w:rPr>
        <w:t>　　城市体检经费项目:全年预算数为22万元，预算执行数为22万元，预算执行率为100%。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安保系统采购项目:全年预算数为9.5万元，预算执行数为9.5万元，预算执行率为100%。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工程建设项目审批管理系统网络采购项目:全年预算数为10万元，预算执行数为10万元，预算执行率为100%。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重点工程改造经费项目:全年预算数为30万元，预算执行数为30万元，预算执行率为100%。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5.45%。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民办实事和第一书记工作经费项目:依据是《自治区“访民情惠民生聚民心”驻村工作为民办实事工作经费使用管理办法（试行）的通知》（新民办发〔2016〕62号）、《关于拨付2021年自治区“访惠聚”驻村工作经费的通知》（新财预（2021）19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2020年军民融合发展专项经费-人防机动指挥平台项目:《关于克州人防激动智慧平台项目立项的批复》(克发改字[2019]256号)。</w:t>
      </w:r>
      <w:r>
        <w:rPr>
          <w:rFonts w:hint="eastAsia" w:ascii="仿宋_GB2312" w:hAnsi="宋体" w:eastAsia="仿宋_GB2312"/>
          <w:b w:val="0"/>
          <w:bCs/>
          <w:sz w:val="32"/>
          <w:szCs w:val="32"/>
        </w:rPr>
        <w:cr/>
      </w:r>
      <w:r>
        <w:rPr>
          <w:rFonts w:hint="eastAsia" w:ascii="仿宋_GB2312" w:hAnsi="宋体" w:eastAsia="仿宋_GB2312"/>
          <w:b w:val="0"/>
          <w:bCs/>
          <w:sz w:val="32"/>
          <w:szCs w:val="32"/>
        </w:rPr>
        <w:t>　　就业补贴项目:《关于拨付2021年第四季度就业补助资金的通知》（克财社[2021]52号）。</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生活补助经费项目:《关于2018年自治区“访惠聚”驻村工作专项经费有关事宜的通知》（克民办发[2018]19号）。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我单位共4项专项，总投入共计354.64 万元，资金全部到位，实际使用资金19.34万元，专项资金执行率为5.45%。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①制订《克州住房和城乡建设局（人民防空办公室）经费使用规范》,为合理合规使用经费提供了有力的制度保障。同时,建立区委组织部项目经费内部管控制度，并严格按要求落实。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成本节约：我单位4个项目成本均未超预算，预算执行率达5.45%。</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tab/>
      </w:r>
      <w:r>
        <w:rPr>
          <w:rFonts w:hint="eastAsia" w:ascii="仿宋_GB2312" w:hAnsi="宋体" w:eastAsia="仿宋_GB2312"/>
          <w:b w:val="0"/>
          <w:bCs/>
          <w:sz w:val="32"/>
          <w:szCs w:val="32"/>
        </w:rPr>
        <w:tab/>
      </w:r>
      <w:r>
        <w:rPr>
          <w:rFonts w:hint="eastAsia" w:ascii="仿宋_GB2312" w:hAnsi="宋体" w:eastAsia="仿宋_GB2312"/>
          <w:b w:val="0"/>
          <w:bCs/>
          <w:sz w:val="32"/>
          <w:szCs w:val="32"/>
        </w:rPr>
        <w:cr/>
      </w:r>
      <w:r>
        <w:rPr>
          <w:rFonts w:hint="eastAsia" w:ascii="仿宋_GB2312" w:hAnsi="宋体" w:eastAsia="仿宋_GB2312"/>
          <w:b w:val="0"/>
          <w:bCs/>
          <w:sz w:val="32"/>
          <w:szCs w:val="32"/>
        </w:rPr>
        <w:t>　　民办实事和第一书记工作经费项目:主要用于开展群众工作，有利于加强民族团结，增进民族互信，突出现代文化引领，落实民生建设任务，增加农牧民收入，关心关爱贫困户，低保户，特困群体等特殊家庭，帮助解决生产生活中的实际困难，开展精准扶贫、凝聚人心，建立自生动力的传帮带工作，提升该村基层组织工作能力，改善村委会办公基础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2020年军民融合发展专项经费-人防机动指挥平台项目:主要用于可行性研究报告编制，有利于项目招标及车辆购置装配。</w:t>
      </w:r>
      <w:r>
        <w:rPr>
          <w:rFonts w:hint="eastAsia" w:ascii="仿宋_GB2312" w:hAnsi="宋体" w:eastAsia="仿宋_GB2312"/>
          <w:b w:val="0"/>
          <w:bCs/>
          <w:sz w:val="32"/>
          <w:szCs w:val="32"/>
        </w:rPr>
        <w:cr/>
      </w:r>
      <w:r>
        <w:rPr>
          <w:rFonts w:hint="eastAsia" w:ascii="仿宋_GB2312" w:hAnsi="宋体" w:eastAsia="仿宋_GB2312"/>
          <w:b w:val="0"/>
          <w:bCs/>
          <w:sz w:val="32"/>
          <w:szCs w:val="32"/>
        </w:rPr>
        <w:t>　　就业补贴项目:主要用于见习生补贴，有利于提高见习生工作积极性。</w:t>
      </w:r>
      <w:r>
        <w:rPr>
          <w:rFonts w:hint="eastAsia" w:ascii="仿宋_GB2312" w:hAnsi="宋体" w:eastAsia="仿宋_GB2312"/>
          <w:b w:val="0"/>
          <w:bCs/>
          <w:sz w:val="32"/>
          <w:szCs w:val="32"/>
        </w:rPr>
        <w:cr/>
      </w:r>
      <w:r>
        <w:rPr>
          <w:rFonts w:hint="eastAsia" w:ascii="仿宋_GB2312" w:hAnsi="宋体" w:eastAsia="仿宋_GB2312"/>
          <w:b w:val="0"/>
          <w:bCs/>
          <w:sz w:val="32"/>
          <w:szCs w:val="32"/>
        </w:rPr>
        <w:t>　　生活补助经费项目:主要用于驻村干部生活补助，有利于提高工做积极性，提高工作人员向心力和凝聚力。</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本单位2021年初资产合计数为118.41万元，年末资产合计数为430.25万元。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截止本年度固定资产账面净值11.04万元，年末实际在用固定资产11.04万元，固定资产利用率为100%。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部门单位整体支出共设置一级指标3个，二级指标7个，三级指标14个，其中已完成三级指标14个，指标完成率为100%。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“保障人员人数”指标：预期指标值为=66人，实际完成指标值为66人，指标完成率为100%。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“老旧小区改造”指标：预期指标值为=43个，实际完成指标值为43个，指标完成率为100%。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“年底考核覆盖率”指标：预期指标值为=100%，实际完成指标值为100%，指标完成率为100%。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“工程项目备案率（%）”指标：预期指标值为=100%，实际完成指标值为100%，指标完成率为100%。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“安全生产检查覆盖率（%）”指标：预期指标值为≥80%，实际完成指标值为80%，指标完成率为100%。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“按期开展工作及时率（%）”指标：预期指标值为&gt;=90%，实际完成指标值为90%，指标完成率为100%。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“基本支出”指标：预期指标值为=713.45万元，实际完成指标值为713.45万元，指标完成率为100%。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“项目支出”指标：预期指标值为=73.43万元，实际完成指标值为73.43万元，指标完成率为100%。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“促进建筑行业的健康发展”指标：预期指标值为有效促进，实际完成指标值为有效促进，指标完成率为100%。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“提升城镇基础设施建设”指标：预期指标值为有效提升，实际完成指标值为有效提升，指标完成率为100%。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“提高城市建设社会关注率”指标：预期指标值为有所提高，实际完成指标值为有所提高，指标完成率为100%。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“受益群众满意度”指标：预期指标值为≥95%，实际完成指标值为95%，指标完成率为100%。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340050AD"/>
    <w:rsid w:val="3FA45EF5"/>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32</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2022-05-23T13:28:07Z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